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2" w:rsidRDefault="00477302" w:rsidP="00477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61F4">
        <w:rPr>
          <w:rFonts w:ascii="Times New Roman" w:hAnsi="Times New Roman" w:cs="Times New Roman"/>
          <w:b/>
          <w:sz w:val="28"/>
          <w:szCs w:val="28"/>
        </w:rPr>
        <w:t>Hmotnost školních aktovek</w:t>
      </w:r>
    </w:p>
    <w:p w:rsidR="00477302" w:rsidRDefault="00477302" w:rsidP="00477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péče o zdraví žáků naší školy byla provedena analýza nadměrného zatěžování dětí při nošení školní brašny. Aby bylo možné ověřit, zda jsou děti zbytečně zatěžovány vyšší hmotností školních aktovek, </w:t>
      </w:r>
      <w:r w:rsidRPr="00297961">
        <w:rPr>
          <w:rFonts w:ascii="Times New Roman" w:hAnsi="Times New Roman" w:cs="Times New Roman"/>
          <w:sz w:val="24"/>
          <w:szCs w:val="24"/>
        </w:rPr>
        <w:t xml:space="preserve">byl proveden průzkum </w:t>
      </w:r>
      <w:r>
        <w:rPr>
          <w:rFonts w:ascii="Times New Roman" w:hAnsi="Times New Roman" w:cs="Times New Roman"/>
          <w:sz w:val="24"/>
          <w:szCs w:val="24"/>
        </w:rPr>
        <w:t>hmotnosti brašen u žáků 5. A</w:t>
      </w:r>
      <w:r w:rsidRPr="00297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Při kombinovaném měření se zjišťovala hmotnost plné aktovky bezprostředně po příchodu žáka do školy, hmotnost prázdné aktovky, učebnic s pomůckami a následně osobní věci žáků. </w:t>
      </w:r>
    </w:p>
    <w:p w:rsidR="00477302" w:rsidRPr="00297961" w:rsidRDefault="00477302" w:rsidP="00477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Zjištěné údaje zapracované do tabulky ukázaly na r</w:t>
      </w:r>
      <w:r w:rsidRPr="00297961">
        <w:rPr>
          <w:rFonts w:ascii="Times New Roman" w:hAnsi="Times New Roman" w:cs="Times New Roman"/>
          <w:sz w:val="24"/>
          <w:szCs w:val="24"/>
        </w:rPr>
        <w:t xml:space="preserve">ezervy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297961">
        <w:rPr>
          <w:rFonts w:ascii="Times New Roman" w:hAnsi="Times New Roman" w:cs="Times New Roman"/>
          <w:sz w:val="24"/>
          <w:szCs w:val="24"/>
        </w:rPr>
        <w:t>v hmotnosti aktov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97961">
        <w:rPr>
          <w:rFonts w:ascii="Times New Roman" w:hAnsi="Times New Roman" w:cs="Times New Roman"/>
          <w:sz w:val="24"/>
          <w:szCs w:val="24"/>
        </w:rPr>
        <w:t xml:space="preserve"> a v uložených osobních věcech. </w:t>
      </w:r>
    </w:p>
    <w:p w:rsidR="00477302" w:rsidRPr="00160136" w:rsidRDefault="00477302" w:rsidP="00477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nebyli žáci zbytečně přetěžováni, </w:t>
      </w:r>
      <w:r w:rsidRPr="00297961">
        <w:rPr>
          <w:rFonts w:ascii="Times New Roman" w:hAnsi="Times New Roman" w:cs="Times New Roman"/>
          <w:sz w:val="24"/>
          <w:szCs w:val="24"/>
        </w:rPr>
        <w:t xml:space="preserve">je </w:t>
      </w:r>
      <w:r w:rsidR="002C3156">
        <w:rPr>
          <w:rFonts w:ascii="Times New Roman" w:hAnsi="Times New Roman" w:cs="Times New Roman"/>
          <w:sz w:val="24"/>
          <w:szCs w:val="24"/>
        </w:rPr>
        <w:t xml:space="preserve">třeba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pravidelná </w:t>
      </w:r>
      <w:r w:rsidRPr="00297961">
        <w:rPr>
          <w:rFonts w:ascii="Times New Roman" w:hAnsi="Times New Roman" w:cs="Times New Roman"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sz w:val="24"/>
          <w:szCs w:val="24"/>
        </w:rPr>
        <w:t xml:space="preserve">obsahu </w:t>
      </w:r>
      <w:r w:rsidRPr="00297961">
        <w:rPr>
          <w:rFonts w:ascii="Times New Roman" w:hAnsi="Times New Roman" w:cs="Times New Roman"/>
          <w:sz w:val="24"/>
          <w:szCs w:val="24"/>
        </w:rPr>
        <w:t>aktovky</w:t>
      </w:r>
      <w:r w:rsidRPr="00FC7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rodiči. Je důležité,</w:t>
      </w:r>
      <w:r w:rsidRPr="00297961">
        <w:rPr>
          <w:rFonts w:ascii="Times New Roman" w:hAnsi="Times New Roman" w:cs="Times New Roman"/>
          <w:sz w:val="24"/>
          <w:szCs w:val="24"/>
        </w:rPr>
        <w:t xml:space="preserve"> aby žá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297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nosili</w:t>
      </w:r>
      <w:r w:rsidRPr="00297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školy </w:t>
      </w:r>
      <w:r w:rsidRPr="00297961">
        <w:rPr>
          <w:rFonts w:ascii="Times New Roman" w:hAnsi="Times New Roman" w:cs="Times New Roman"/>
          <w:sz w:val="24"/>
          <w:szCs w:val="24"/>
        </w:rPr>
        <w:t xml:space="preserve">vždy </w:t>
      </w: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Pr="00297961">
        <w:rPr>
          <w:rFonts w:ascii="Times New Roman" w:hAnsi="Times New Roman" w:cs="Times New Roman"/>
          <w:sz w:val="24"/>
          <w:szCs w:val="24"/>
        </w:rPr>
        <w:t>odpovídající učebnice pro výuku příslušného dne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0136">
        <w:rPr>
          <w:rFonts w:ascii="Times New Roman" w:hAnsi="Times New Roman" w:cs="Times New Roman"/>
          <w:sz w:val="24"/>
          <w:szCs w:val="24"/>
        </w:rPr>
        <w:t>Při nákupu aktovky v obchodě je nutné, aby rodiče přihlíželi na praktičnost</w:t>
      </w:r>
      <w:r>
        <w:rPr>
          <w:rFonts w:ascii="Times New Roman" w:hAnsi="Times New Roman" w:cs="Times New Roman"/>
          <w:sz w:val="24"/>
          <w:szCs w:val="24"/>
        </w:rPr>
        <w:t xml:space="preserve"> školní tašky</w:t>
      </w:r>
      <w:r w:rsidRPr="00160136">
        <w:rPr>
          <w:rFonts w:ascii="Times New Roman" w:hAnsi="Times New Roman" w:cs="Times New Roman"/>
          <w:sz w:val="24"/>
          <w:szCs w:val="24"/>
        </w:rPr>
        <w:t xml:space="preserve">, vynechali módní prvky a porovnali si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160136">
        <w:rPr>
          <w:rFonts w:ascii="Times New Roman" w:hAnsi="Times New Roman" w:cs="Times New Roman"/>
          <w:sz w:val="24"/>
          <w:szCs w:val="24"/>
        </w:rPr>
        <w:t>hmotnosti několika podobný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60136">
        <w:rPr>
          <w:rFonts w:ascii="Times New Roman" w:hAnsi="Times New Roman" w:cs="Times New Roman"/>
          <w:sz w:val="24"/>
          <w:szCs w:val="24"/>
        </w:rPr>
        <w:t xml:space="preserve"> typ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160136">
        <w:rPr>
          <w:rFonts w:ascii="Times New Roman" w:hAnsi="Times New Roman" w:cs="Times New Roman"/>
          <w:sz w:val="24"/>
          <w:szCs w:val="24"/>
        </w:rPr>
        <w:t xml:space="preserve"> aktovek.</w:t>
      </w:r>
    </w:p>
    <w:p w:rsidR="00477302" w:rsidRPr="00561426" w:rsidRDefault="00477302" w:rsidP="004773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5991"/>
        <w:tblW w:w="0" w:type="auto"/>
        <w:tblLook w:val="04A0" w:firstRow="1" w:lastRow="0" w:firstColumn="1" w:lastColumn="0" w:noHBand="0" w:noVBand="1"/>
      </w:tblPr>
      <w:tblGrid>
        <w:gridCol w:w="2603"/>
        <w:gridCol w:w="2598"/>
        <w:gridCol w:w="6"/>
        <w:gridCol w:w="2414"/>
      </w:tblGrid>
      <w:tr w:rsidR="00477302" w:rsidTr="00477302">
        <w:trPr>
          <w:trHeight w:val="359"/>
        </w:trPr>
        <w:tc>
          <w:tcPr>
            <w:tcW w:w="2603" w:type="dxa"/>
          </w:tcPr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Zjištěné hodnoty</w:t>
            </w:r>
          </w:p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nejvyšší hmotnost</w:t>
            </w:r>
          </w:p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2414" w:type="dxa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nejnižší hmotnost</w:t>
            </w:r>
          </w:p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</w:tr>
      <w:tr w:rsidR="00477302" w:rsidTr="00477302">
        <w:trPr>
          <w:trHeight w:val="372"/>
        </w:trPr>
        <w:tc>
          <w:tcPr>
            <w:tcW w:w="2603" w:type="dxa"/>
          </w:tcPr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 xml:space="preserve">       plná aktovka</w:t>
            </w:r>
          </w:p>
        </w:tc>
        <w:tc>
          <w:tcPr>
            <w:tcW w:w="2604" w:type="dxa"/>
            <w:gridSpan w:val="2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6, 85</w:t>
            </w:r>
          </w:p>
        </w:tc>
        <w:tc>
          <w:tcPr>
            <w:tcW w:w="2414" w:type="dxa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477302" w:rsidTr="00477302">
        <w:trPr>
          <w:trHeight w:val="372"/>
        </w:trPr>
        <w:tc>
          <w:tcPr>
            <w:tcW w:w="2603" w:type="dxa"/>
          </w:tcPr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prázdná aktovka</w:t>
            </w:r>
          </w:p>
        </w:tc>
        <w:tc>
          <w:tcPr>
            <w:tcW w:w="2604" w:type="dxa"/>
            <w:gridSpan w:val="2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414" w:type="dxa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7302" w:rsidTr="00477302">
        <w:trPr>
          <w:trHeight w:val="388"/>
        </w:trPr>
        <w:tc>
          <w:tcPr>
            <w:tcW w:w="2603" w:type="dxa"/>
          </w:tcPr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 xml:space="preserve">  pouze učení</w:t>
            </w:r>
          </w:p>
        </w:tc>
        <w:tc>
          <w:tcPr>
            <w:tcW w:w="2604" w:type="dxa"/>
            <w:gridSpan w:val="2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414" w:type="dxa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477302" w:rsidTr="004773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603" w:type="dxa"/>
          </w:tcPr>
          <w:p w:rsidR="00477302" w:rsidRPr="00BD40AA" w:rsidRDefault="00477302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 xml:space="preserve">       osobní věci</w:t>
            </w:r>
          </w:p>
        </w:tc>
        <w:tc>
          <w:tcPr>
            <w:tcW w:w="2598" w:type="dxa"/>
            <w:shd w:val="clear" w:color="auto" w:fill="auto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477302" w:rsidRPr="00BD40AA" w:rsidRDefault="00477302" w:rsidP="0047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477302" w:rsidRDefault="00477302" w:rsidP="00477302"/>
    <w:p w:rsidR="00477302" w:rsidRDefault="00477302" w:rsidP="00477302"/>
    <w:p w:rsidR="00477302" w:rsidRPr="00160136" w:rsidRDefault="00477302" w:rsidP="00477302"/>
    <w:p w:rsidR="00477302" w:rsidRPr="00160136" w:rsidRDefault="00477302" w:rsidP="00477302"/>
    <w:tbl>
      <w:tblPr>
        <w:tblStyle w:val="Mkatabulky"/>
        <w:tblpPr w:leftFromText="141" w:rightFromText="141" w:vertAnchor="page" w:horzAnchor="margin" w:tblpY="8279"/>
        <w:tblW w:w="0" w:type="auto"/>
        <w:tblLook w:val="04A0" w:firstRow="1" w:lastRow="0" w:firstColumn="1" w:lastColumn="0" w:noHBand="0" w:noVBand="1"/>
      </w:tblPr>
      <w:tblGrid>
        <w:gridCol w:w="5234"/>
        <w:gridCol w:w="2387"/>
      </w:tblGrid>
      <w:tr w:rsidR="00176BAA" w:rsidTr="00176BAA">
        <w:trPr>
          <w:trHeight w:val="389"/>
        </w:trPr>
        <w:tc>
          <w:tcPr>
            <w:tcW w:w="5234" w:type="dxa"/>
          </w:tcPr>
          <w:p w:rsidR="00176BAA" w:rsidRPr="005A74B1" w:rsidRDefault="00176BAA" w:rsidP="001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průměrná hmotnost plné aktovky (kg)</w:t>
            </w:r>
          </w:p>
        </w:tc>
        <w:tc>
          <w:tcPr>
            <w:tcW w:w="2387" w:type="dxa"/>
          </w:tcPr>
          <w:p w:rsidR="00176BAA" w:rsidRPr="005A74B1" w:rsidRDefault="00176BAA" w:rsidP="001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176BAA" w:rsidTr="00176BAA">
        <w:trPr>
          <w:trHeight w:val="373"/>
        </w:trPr>
        <w:tc>
          <w:tcPr>
            <w:tcW w:w="5234" w:type="dxa"/>
          </w:tcPr>
          <w:p w:rsidR="00176BAA" w:rsidRPr="005A74B1" w:rsidRDefault="00176BAA" w:rsidP="001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</w:t>
            </w: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růměrná hmotnost prázdné aktovky (kg)</w:t>
            </w:r>
          </w:p>
        </w:tc>
        <w:tc>
          <w:tcPr>
            <w:tcW w:w="2387" w:type="dxa"/>
          </w:tcPr>
          <w:p w:rsidR="00176BAA" w:rsidRPr="005A74B1" w:rsidRDefault="00176BAA" w:rsidP="001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176BAA" w:rsidTr="00176BAA">
        <w:trPr>
          <w:trHeight w:val="402"/>
        </w:trPr>
        <w:tc>
          <w:tcPr>
            <w:tcW w:w="5234" w:type="dxa"/>
          </w:tcPr>
          <w:p w:rsidR="00176BAA" w:rsidRPr="005A74B1" w:rsidRDefault="00176BAA" w:rsidP="001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průměrná hmotnost učení (kg)</w:t>
            </w:r>
          </w:p>
        </w:tc>
        <w:tc>
          <w:tcPr>
            <w:tcW w:w="2387" w:type="dxa"/>
          </w:tcPr>
          <w:p w:rsidR="00176BAA" w:rsidRPr="005A74B1" w:rsidRDefault="00176BAA" w:rsidP="001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176BAA" w:rsidTr="00176B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34" w:type="dxa"/>
          </w:tcPr>
          <w:p w:rsidR="00176BAA" w:rsidRPr="005A74B1" w:rsidRDefault="00176BAA" w:rsidP="001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</w:t>
            </w:r>
            <w:r w:rsidRPr="005A74B1">
              <w:rPr>
                <w:rFonts w:ascii="Times New Roman" w:hAnsi="Times New Roman" w:cs="Times New Roman"/>
                <w:sz w:val="24"/>
                <w:szCs w:val="24"/>
              </w:rPr>
              <w:t>růměrná hmotnost osobních věcí</w:t>
            </w:r>
          </w:p>
        </w:tc>
        <w:tc>
          <w:tcPr>
            <w:tcW w:w="2387" w:type="dxa"/>
            <w:shd w:val="clear" w:color="auto" w:fill="auto"/>
          </w:tcPr>
          <w:p w:rsidR="00176BAA" w:rsidRDefault="00176BAA" w:rsidP="001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  <w:p w:rsidR="00176BAA" w:rsidRPr="005A74B1" w:rsidRDefault="00176BAA" w:rsidP="001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302" w:rsidRDefault="00477302"/>
    <w:p w:rsidR="00477302" w:rsidRDefault="00477302" w:rsidP="00477302"/>
    <w:p w:rsidR="00176BAA" w:rsidRDefault="00176BAA" w:rsidP="00477302"/>
    <w:p w:rsidR="00176BAA" w:rsidRDefault="00176BAA" w:rsidP="00477302"/>
    <w:p w:rsidR="00176BAA" w:rsidRDefault="00176BAA" w:rsidP="00477302"/>
    <w:p w:rsidR="00176BAA" w:rsidRDefault="00176BAA" w:rsidP="00477302"/>
    <w:p w:rsidR="006E114D" w:rsidRPr="00176BAA" w:rsidRDefault="00477302" w:rsidP="00477302">
      <w:pPr>
        <w:rPr>
          <w:rFonts w:ascii="Times New Roman" w:hAnsi="Times New Roman" w:cs="Times New Roman"/>
          <w:sz w:val="24"/>
          <w:szCs w:val="24"/>
        </w:rPr>
      </w:pPr>
      <w:r w:rsidRPr="00176BAA">
        <w:rPr>
          <w:rFonts w:ascii="Times New Roman" w:hAnsi="Times New Roman" w:cs="Times New Roman"/>
          <w:sz w:val="24"/>
          <w:szCs w:val="24"/>
        </w:rPr>
        <w:t xml:space="preserve">Vypracovala: Mgr. Iva Báchorová </w:t>
      </w:r>
    </w:p>
    <w:sectPr w:rsidR="006E114D" w:rsidRPr="0017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2"/>
    <w:rsid w:val="00176BAA"/>
    <w:rsid w:val="002C3156"/>
    <w:rsid w:val="00477302"/>
    <w:rsid w:val="006E114D"/>
    <w:rsid w:val="00E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Evzen</dc:creator>
  <cp:lastModifiedBy>Mgr. Iva Báchorová</cp:lastModifiedBy>
  <cp:revision>3</cp:revision>
  <dcterms:created xsi:type="dcterms:W3CDTF">2019-03-14T11:58:00Z</dcterms:created>
  <dcterms:modified xsi:type="dcterms:W3CDTF">2019-03-14T12:06:00Z</dcterms:modified>
</cp:coreProperties>
</file>